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1ECC" w:rsidRDefault="007C1ECC" w:rsidP="007C1ECC">
      <w:pPr>
        <w:spacing w:before="100" w:beforeAutospacing="1" w:after="100" w:afterAutospacing="1"/>
        <w:ind w:right="141"/>
        <w:rPr>
          <w:b/>
          <w:bCs/>
          <w:caps/>
          <w:sz w:val="24"/>
          <w:szCs w:val="24"/>
        </w:rPr>
      </w:pPr>
      <w:r>
        <w:rPr>
          <w:b/>
          <w:bCs/>
          <w:caps/>
          <w:sz w:val="24"/>
          <w:szCs w:val="24"/>
        </w:rPr>
        <w:t xml:space="preserve">Algemene voorwaarden </w:t>
      </w:r>
    </w:p>
    <w:tbl>
      <w:tblPr>
        <w:tblW w:w="9781" w:type="dxa"/>
        <w:tblCellSpacing w:w="0" w:type="dxa"/>
        <w:tblCellMar>
          <w:left w:w="0" w:type="dxa"/>
          <w:right w:w="0" w:type="dxa"/>
        </w:tblCellMar>
        <w:tblLook w:val="04A0" w:firstRow="1" w:lastRow="0" w:firstColumn="1" w:lastColumn="0" w:noHBand="0" w:noVBand="1"/>
      </w:tblPr>
      <w:tblGrid>
        <w:gridCol w:w="595"/>
        <w:gridCol w:w="346"/>
        <w:gridCol w:w="8840"/>
      </w:tblGrid>
      <w:tr w:rsidR="007C1ECC" w:rsidTr="007C1ECC">
        <w:trPr>
          <w:tblCellSpacing w:w="0" w:type="dxa"/>
        </w:trPr>
        <w:tc>
          <w:tcPr>
            <w:tcW w:w="595" w:type="dxa"/>
            <w:tcBorders>
              <w:top w:val="single" w:sz="8" w:space="0" w:color="000000"/>
              <w:left w:val="nil"/>
              <w:bottom w:val="nil"/>
              <w:right w:val="nil"/>
            </w:tcBorders>
            <w:tcMar>
              <w:top w:w="75" w:type="dxa"/>
              <w:left w:w="75" w:type="dxa"/>
              <w:bottom w:w="75" w:type="dxa"/>
              <w:right w:w="75" w:type="dxa"/>
            </w:tcMar>
            <w:hideMark/>
          </w:tcPr>
          <w:p w:rsidR="007C1ECC" w:rsidRDefault="007C1ECC" w:rsidP="007C1ECC">
            <w:pPr>
              <w:spacing w:before="100" w:beforeAutospacing="1" w:after="100" w:afterAutospacing="1"/>
              <w:ind w:right="141"/>
              <w:rPr>
                <w:b/>
                <w:bCs/>
                <w:sz w:val="21"/>
                <w:szCs w:val="21"/>
              </w:rPr>
            </w:pPr>
            <w:r>
              <w:rPr>
                <w:b/>
                <w:bCs/>
                <w:sz w:val="21"/>
                <w:szCs w:val="21"/>
              </w:rPr>
              <w:t>1</w:t>
            </w:r>
          </w:p>
        </w:tc>
        <w:tc>
          <w:tcPr>
            <w:tcW w:w="346" w:type="dxa"/>
            <w:tcBorders>
              <w:top w:val="single" w:sz="8" w:space="0" w:color="000000"/>
              <w:left w:val="nil"/>
              <w:bottom w:val="nil"/>
              <w:right w:val="nil"/>
            </w:tcBorders>
            <w:tcMar>
              <w:top w:w="75" w:type="dxa"/>
              <w:left w:w="75" w:type="dxa"/>
              <w:bottom w:w="75" w:type="dxa"/>
              <w:right w:w="75" w:type="dxa"/>
            </w:tcMar>
            <w:vAlign w:val="center"/>
            <w:hideMark/>
          </w:tcPr>
          <w:p w:rsidR="007C1ECC" w:rsidRDefault="007C1ECC" w:rsidP="007C1ECC">
            <w:pPr>
              <w:spacing w:before="100" w:beforeAutospacing="1" w:after="100" w:afterAutospacing="1"/>
              <w:ind w:right="141"/>
              <w:rPr>
                <w:b/>
                <w:bCs/>
                <w:sz w:val="21"/>
                <w:szCs w:val="21"/>
              </w:rPr>
            </w:pPr>
            <w:r>
              <w:rPr>
                <w:b/>
                <w:bCs/>
                <w:sz w:val="21"/>
                <w:szCs w:val="21"/>
              </w:rPr>
              <w:t> </w:t>
            </w:r>
          </w:p>
        </w:tc>
        <w:tc>
          <w:tcPr>
            <w:tcW w:w="8840" w:type="dxa"/>
            <w:tcBorders>
              <w:top w:val="single" w:sz="8" w:space="0" w:color="000000"/>
              <w:left w:val="nil"/>
              <w:bottom w:val="nil"/>
              <w:right w:val="nil"/>
            </w:tcBorders>
            <w:tcMar>
              <w:top w:w="75" w:type="dxa"/>
              <w:left w:w="75" w:type="dxa"/>
              <w:bottom w:w="75" w:type="dxa"/>
              <w:right w:w="75" w:type="dxa"/>
            </w:tcMar>
            <w:vAlign w:val="center"/>
            <w:hideMark/>
          </w:tcPr>
          <w:p w:rsidR="007C1ECC" w:rsidRDefault="007C1ECC" w:rsidP="007C1ECC">
            <w:pPr>
              <w:spacing w:before="100" w:beforeAutospacing="1" w:after="100" w:afterAutospacing="1"/>
              <w:ind w:right="141"/>
              <w:rPr>
                <w:b/>
                <w:bCs/>
                <w:caps/>
                <w:sz w:val="24"/>
                <w:szCs w:val="24"/>
              </w:rPr>
            </w:pPr>
            <w:r>
              <w:rPr>
                <w:b/>
                <w:bCs/>
                <w:caps/>
                <w:sz w:val="24"/>
                <w:szCs w:val="24"/>
              </w:rPr>
              <w:t>Toepasselijkheid</w:t>
            </w:r>
          </w:p>
        </w:tc>
      </w:tr>
      <w:tr w:rsidR="007C1ECC" w:rsidTr="007C1ECC">
        <w:trPr>
          <w:tblCellSpacing w:w="0" w:type="dxa"/>
        </w:trPr>
        <w:tc>
          <w:tcPr>
            <w:tcW w:w="0" w:type="auto"/>
            <w:tcBorders>
              <w:top w:val="single" w:sz="8" w:space="0" w:color="000000"/>
              <w:left w:val="nil"/>
              <w:bottom w:val="nil"/>
              <w:right w:val="nil"/>
            </w:tcBorders>
            <w:tcMar>
              <w:top w:w="75" w:type="dxa"/>
              <w:left w:w="75" w:type="dxa"/>
              <w:bottom w:w="75" w:type="dxa"/>
              <w:right w:w="75" w:type="dxa"/>
            </w:tcMar>
            <w:hideMark/>
          </w:tcPr>
          <w:p w:rsidR="007C1ECC" w:rsidRDefault="007C1ECC" w:rsidP="007C1ECC">
            <w:pPr>
              <w:ind w:right="141"/>
              <w:rPr>
                <w:sz w:val="24"/>
                <w:szCs w:val="24"/>
              </w:rPr>
            </w:pPr>
            <w:r>
              <w:rPr>
                <w:sz w:val="24"/>
                <w:szCs w:val="24"/>
              </w:rPr>
              <w:t> </w:t>
            </w:r>
          </w:p>
        </w:tc>
        <w:tc>
          <w:tcPr>
            <w:tcW w:w="0" w:type="auto"/>
            <w:tcBorders>
              <w:top w:val="single" w:sz="8" w:space="0" w:color="000000"/>
              <w:left w:val="nil"/>
              <w:bottom w:val="nil"/>
              <w:right w:val="nil"/>
            </w:tcBorders>
            <w:tcMar>
              <w:top w:w="75" w:type="dxa"/>
              <w:left w:w="75" w:type="dxa"/>
              <w:bottom w:w="75" w:type="dxa"/>
              <w:right w:w="75" w:type="dxa"/>
            </w:tcMar>
            <w:vAlign w:val="center"/>
            <w:hideMark/>
          </w:tcPr>
          <w:p w:rsidR="007C1ECC" w:rsidRDefault="007C1ECC" w:rsidP="007C1ECC">
            <w:pPr>
              <w:ind w:right="141"/>
              <w:rPr>
                <w:sz w:val="24"/>
                <w:szCs w:val="24"/>
              </w:rPr>
            </w:pPr>
            <w:r>
              <w:rPr>
                <w:sz w:val="24"/>
                <w:szCs w:val="24"/>
              </w:rPr>
              <w:t> </w:t>
            </w:r>
          </w:p>
        </w:tc>
        <w:tc>
          <w:tcPr>
            <w:tcW w:w="8840" w:type="dxa"/>
            <w:tcBorders>
              <w:top w:val="single" w:sz="8" w:space="0" w:color="000000"/>
              <w:left w:val="nil"/>
              <w:bottom w:val="nil"/>
              <w:right w:val="nil"/>
            </w:tcBorders>
            <w:tcMar>
              <w:top w:w="75" w:type="dxa"/>
              <w:left w:w="75" w:type="dxa"/>
              <w:bottom w:w="75" w:type="dxa"/>
              <w:right w:w="75" w:type="dxa"/>
            </w:tcMar>
            <w:vAlign w:val="center"/>
            <w:hideMark/>
          </w:tcPr>
          <w:p w:rsidR="007C1ECC" w:rsidRDefault="007C1ECC" w:rsidP="007C1ECC">
            <w:pPr>
              <w:ind w:right="141"/>
              <w:rPr>
                <w:sz w:val="24"/>
                <w:szCs w:val="24"/>
              </w:rPr>
            </w:pPr>
            <w:r>
              <w:rPr>
                <w:sz w:val="24"/>
                <w:szCs w:val="24"/>
              </w:rPr>
              <w:t>Deze algemene voorwaarden zijn van toepassing op alle overeenkomsten van opdracht, tenzij voorafgaande aan de totstandkoming van een overeenkomst schriftelijk anders is overeengekomen</w:t>
            </w:r>
          </w:p>
        </w:tc>
      </w:tr>
      <w:tr w:rsidR="007C1ECC" w:rsidTr="007C1ECC">
        <w:trPr>
          <w:tblCellSpacing w:w="0" w:type="dxa"/>
        </w:trPr>
        <w:tc>
          <w:tcPr>
            <w:tcW w:w="0" w:type="auto"/>
            <w:tcBorders>
              <w:top w:val="single" w:sz="8" w:space="0" w:color="000000"/>
              <w:left w:val="nil"/>
              <w:bottom w:val="nil"/>
              <w:right w:val="nil"/>
            </w:tcBorders>
            <w:tcMar>
              <w:top w:w="75" w:type="dxa"/>
              <w:left w:w="75" w:type="dxa"/>
              <w:bottom w:w="75" w:type="dxa"/>
              <w:right w:w="75" w:type="dxa"/>
            </w:tcMar>
            <w:hideMark/>
          </w:tcPr>
          <w:p w:rsidR="007C1ECC" w:rsidRDefault="007C1ECC" w:rsidP="007C1ECC">
            <w:pPr>
              <w:spacing w:before="100" w:beforeAutospacing="1" w:after="100" w:afterAutospacing="1"/>
              <w:ind w:right="141"/>
              <w:rPr>
                <w:b/>
                <w:bCs/>
                <w:sz w:val="21"/>
                <w:szCs w:val="21"/>
              </w:rPr>
            </w:pPr>
            <w:r>
              <w:rPr>
                <w:b/>
                <w:bCs/>
                <w:sz w:val="21"/>
                <w:szCs w:val="21"/>
              </w:rPr>
              <w:t xml:space="preserve">2 </w:t>
            </w:r>
          </w:p>
        </w:tc>
        <w:tc>
          <w:tcPr>
            <w:tcW w:w="0" w:type="auto"/>
            <w:tcBorders>
              <w:top w:val="single" w:sz="8" w:space="0" w:color="000000"/>
              <w:left w:val="nil"/>
              <w:bottom w:val="nil"/>
              <w:right w:val="nil"/>
            </w:tcBorders>
            <w:tcMar>
              <w:top w:w="75" w:type="dxa"/>
              <w:left w:w="75" w:type="dxa"/>
              <w:bottom w:w="75" w:type="dxa"/>
              <w:right w:w="75" w:type="dxa"/>
            </w:tcMar>
            <w:vAlign w:val="center"/>
            <w:hideMark/>
          </w:tcPr>
          <w:p w:rsidR="007C1ECC" w:rsidRDefault="007C1ECC" w:rsidP="007C1ECC">
            <w:pPr>
              <w:spacing w:before="100" w:beforeAutospacing="1" w:after="100" w:afterAutospacing="1"/>
              <w:ind w:right="141"/>
              <w:rPr>
                <w:b/>
                <w:bCs/>
                <w:sz w:val="21"/>
                <w:szCs w:val="21"/>
              </w:rPr>
            </w:pPr>
            <w:r>
              <w:rPr>
                <w:b/>
                <w:bCs/>
                <w:sz w:val="21"/>
                <w:szCs w:val="21"/>
              </w:rPr>
              <w:t> </w:t>
            </w:r>
          </w:p>
        </w:tc>
        <w:tc>
          <w:tcPr>
            <w:tcW w:w="8840" w:type="dxa"/>
            <w:tcBorders>
              <w:top w:val="single" w:sz="8" w:space="0" w:color="000000"/>
              <w:left w:val="nil"/>
              <w:bottom w:val="nil"/>
              <w:right w:val="nil"/>
            </w:tcBorders>
            <w:tcMar>
              <w:top w:w="75" w:type="dxa"/>
              <w:left w:w="75" w:type="dxa"/>
              <w:bottom w:w="75" w:type="dxa"/>
              <w:right w:w="75" w:type="dxa"/>
            </w:tcMar>
            <w:vAlign w:val="center"/>
            <w:hideMark/>
          </w:tcPr>
          <w:p w:rsidR="007C1ECC" w:rsidRDefault="007C1ECC" w:rsidP="007C1ECC">
            <w:pPr>
              <w:spacing w:before="100" w:beforeAutospacing="1" w:after="100" w:afterAutospacing="1"/>
              <w:ind w:right="141"/>
              <w:rPr>
                <w:b/>
                <w:bCs/>
                <w:caps/>
                <w:sz w:val="24"/>
                <w:szCs w:val="24"/>
              </w:rPr>
            </w:pPr>
            <w:r>
              <w:rPr>
                <w:b/>
                <w:bCs/>
                <w:caps/>
                <w:sz w:val="24"/>
                <w:szCs w:val="24"/>
              </w:rPr>
              <w:t>Betaling</w:t>
            </w:r>
          </w:p>
        </w:tc>
      </w:tr>
      <w:tr w:rsidR="007C1ECC" w:rsidTr="007C1ECC">
        <w:trPr>
          <w:tblCellSpacing w:w="0" w:type="dxa"/>
        </w:trPr>
        <w:tc>
          <w:tcPr>
            <w:tcW w:w="0" w:type="auto"/>
            <w:tcBorders>
              <w:top w:val="single" w:sz="8" w:space="0" w:color="000000"/>
              <w:left w:val="nil"/>
              <w:bottom w:val="nil"/>
              <w:right w:val="nil"/>
            </w:tcBorders>
            <w:tcMar>
              <w:top w:w="75" w:type="dxa"/>
              <w:left w:w="75" w:type="dxa"/>
              <w:bottom w:w="75" w:type="dxa"/>
              <w:right w:w="75" w:type="dxa"/>
            </w:tcMar>
            <w:hideMark/>
          </w:tcPr>
          <w:p w:rsidR="007C1ECC" w:rsidRDefault="007C1ECC" w:rsidP="007C1ECC">
            <w:pPr>
              <w:ind w:right="141"/>
              <w:rPr>
                <w:sz w:val="24"/>
                <w:szCs w:val="24"/>
              </w:rPr>
            </w:pPr>
            <w:r>
              <w:rPr>
                <w:sz w:val="24"/>
                <w:szCs w:val="24"/>
              </w:rPr>
              <w:t>2.1</w:t>
            </w:r>
          </w:p>
        </w:tc>
        <w:tc>
          <w:tcPr>
            <w:tcW w:w="0" w:type="auto"/>
            <w:tcBorders>
              <w:top w:val="single" w:sz="8" w:space="0" w:color="000000"/>
              <w:left w:val="nil"/>
              <w:bottom w:val="nil"/>
              <w:right w:val="nil"/>
            </w:tcBorders>
            <w:tcMar>
              <w:top w:w="75" w:type="dxa"/>
              <w:left w:w="75" w:type="dxa"/>
              <w:bottom w:w="75" w:type="dxa"/>
              <w:right w:w="75" w:type="dxa"/>
            </w:tcMar>
            <w:vAlign w:val="center"/>
            <w:hideMark/>
          </w:tcPr>
          <w:p w:rsidR="007C1ECC" w:rsidRDefault="007C1ECC" w:rsidP="007C1ECC">
            <w:pPr>
              <w:ind w:right="141"/>
              <w:rPr>
                <w:sz w:val="24"/>
                <w:szCs w:val="24"/>
              </w:rPr>
            </w:pPr>
            <w:r>
              <w:rPr>
                <w:sz w:val="24"/>
                <w:szCs w:val="24"/>
              </w:rPr>
              <w:t> </w:t>
            </w:r>
          </w:p>
        </w:tc>
        <w:tc>
          <w:tcPr>
            <w:tcW w:w="8840" w:type="dxa"/>
            <w:tcBorders>
              <w:top w:val="single" w:sz="8" w:space="0" w:color="000000"/>
              <w:left w:val="nil"/>
              <w:bottom w:val="nil"/>
              <w:right w:val="nil"/>
            </w:tcBorders>
            <w:tcMar>
              <w:top w:w="75" w:type="dxa"/>
              <w:left w:w="75" w:type="dxa"/>
              <w:bottom w:w="75" w:type="dxa"/>
              <w:right w:w="75" w:type="dxa"/>
            </w:tcMar>
            <w:vAlign w:val="center"/>
            <w:hideMark/>
          </w:tcPr>
          <w:p w:rsidR="007C1ECC" w:rsidRDefault="007C1ECC" w:rsidP="007C1ECC">
            <w:pPr>
              <w:ind w:right="141"/>
              <w:rPr>
                <w:sz w:val="24"/>
                <w:szCs w:val="24"/>
              </w:rPr>
            </w:pPr>
            <w:r>
              <w:rPr>
                <w:sz w:val="24"/>
                <w:szCs w:val="24"/>
              </w:rPr>
              <w:t>Voor de door Voet en Goed verrichte diensten, is de cliënt het gangbare tarief verschuldigd, evenals voor geleverde artikelen.</w:t>
            </w:r>
          </w:p>
        </w:tc>
      </w:tr>
      <w:tr w:rsidR="007C1ECC" w:rsidTr="007C1ECC">
        <w:trPr>
          <w:tblCellSpacing w:w="0" w:type="dxa"/>
        </w:trPr>
        <w:tc>
          <w:tcPr>
            <w:tcW w:w="0" w:type="auto"/>
            <w:tcBorders>
              <w:top w:val="single" w:sz="8" w:space="0" w:color="000000"/>
              <w:left w:val="nil"/>
              <w:bottom w:val="nil"/>
              <w:right w:val="nil"/>
            </w:tcBorders>
            <w:tcMar>
              <w:top w:w="75" w:type="dxa"/>
              <w:left w:w="75" w:type="dxa"/>
              <w:bottom w:w="75" w:type="dxa"/>
              <w:right w:w="75" w:type="dxa"/>
            </w:tcMar>
            <w:hideMark/>
          </w:tcPr>
          <w:p w:rsidR="007C1ECC" w:rsidRDefault="007C1ECC" w:rsidP="007C1ECC">
            <w:pPr>
              <w:ind w:right="141"/>
              <w:rPr>
                <w:sz w:val="24"/>
                <w:szCs w:val="24"/>
              </w:rPr>
            </w:pPr>
            <w:r>
              <w:rPr>
                <w:sz w:val="24"/>
                <w:szCs w:val="24"/>
              </w:rPr>
              <w:t>2.2</w:t>
            </w:r>
          </w:p>
        </w:tc>
        <w:tc>
          <w:tcPr>
            <w:tcW w:w="0" w:type="auto"/>
            <w:tcBorders>
              <w:top w:val="single" w:sz="8" w:space="0" w:color="000000"/>
              <w:left w:val="nil"/>
              <w:bottom w:val="nil"/>
              <w:right w:val="nil"/>
            </w:tcBorders>
            <w:tcMar>
              <w:top w:w="75" w:type="dxa"/>
              <w:left w:w="75" w:type="dxa"/>
              <w:bottom w:w="75" w:type="dxa"/>
              <w:right w:w="75" w:type="dxa"/>
            </w:tcMar>
            <w:vAlign w:val="center"/>
            <w:hideMark/>
          </w:tcPr>
          <w:p w:rsidR="007C1ECC" w:rsidRDefault="007C1ECC" w:rsidP="007C1ECC">
            <w:pPr>
              <w:ind w:right="141"/>
              <w:rPr>
                <w:sz w:val="24"/>
                <w:szCs w:val="24"/>
              </w:rPr>
            </w:pPr>
            <w:r>
              <w:rPr>
                <w:sz w:val="24"/>
                <w:szCs w:val="24"/>
              </w:rPr>
              <w:t> </w:t>
            </w:r>
          </w:p>
        </w:tc>
        <w:tc>
          <w:tcPr>
            <w:tcW w:w="8840" w:type="dxa"/>
            <w:tcBorders>
              <w:top w:val="single" w:sz="8" w:space="0" w:color="000000"/>
              <w:left w:val="nil"/>
              <w:bottom w:val="nil"/>
              <w:right w:val="nil"/>
            </w:tcBorders>
            <w:tcMar>
              <w:top w:w="75" w:type="dxa"/>
              <w:left w:w="75" w:type="dxa"/>
              <w:bottom w:w="75" w:type="dxa"/>
              <w:right w:w="75" w:type="dxa"/>
            </w:tcMar>
            <w:vAlign w:val="center"/>
            <w:hideMark/>
          </w:tcPr>
          <w:p w:rsidR="007C1ECC" w:rsidRDefault="007C1ECC" w:rsidP="007C1ECC">
            <w:pPr>
              <w:ind w:right="141"/>
              <w:rPr>
                <w:sz w:val="24"/>
                <w:szCs w:val="24"/>
              </w:rPr>
            </w:pPr>
            <w:r>
              <w:rPr>
                <w:sz w:val="24"/>
                <w:szCs w:val="24"/>
              </w:rPr>
              <w:t>Betaling dient contant of via pin te geschieden, tenzij anders overeengekomen. Indien afspraak is dat op rekening wordt betaald, zal de cliënt de rekening binnen 10 dagen na factuurdatum aan Voet en Goed voldoen.</w:t>
            </w:r>
          </w:p>
        </w:tc>
      </w:tr>
      <w:tr w:rsidR="007C1ECC" w:rsidTr="007C1ECC">
        <w:trPr>
          <w:tblCellSpacing w:w="0" w:type="dxa"/>
        </w:trPr>
        <w:tc>
          <w:tcPr>
            <w:tcW w:w="0" w:type="auto"/>
            <w:tcBorders>
              <w:top w:val="single" w:sz="8" w:space="0" w:color="000000"/>
              <w:left w:val="nil"/>
              <w:bottom w:val="nil"/>
              <w:right w:val="nil"/>
            </w:tcBorders>
            <w:tcMar>
              <w:top w:w="75" w:type="dxa"/>
              <w:left w:w="75" w:type="dxa"/>
              <w:bottom w:w="75" w:type="dxa"/>
              <w:right w:w="75" w:type="dxa"/>
            </w:tcMar>
            <w:hideMark/>
          </w:tcPr>
          <w:p w:rsidR="007C1ECC" w:rsidRDefault="007C1ECC" w:rsidP="007C1ECC">
            <w:pPr>
              <w:ind w:right="141"/>
              <w:rPr>
                <w:sz w:val="24"/>
                <w:szCs w:val="24"/>
              </w:rPr>
            </w:pPr>
            <w:r>
              <w:rPr>
                <w:sz w:val="24"/>
                <w:szCs w:val="24"/>
              </w:rPr>
              <w:t>2.3</w:t>
            </w:r>
          </w:p>
        </w:tc>
        <w:tc>
          <w:tcPr>
            <w:tcW w:w="0" w:type="auto"/>
            <w:tcBorders>
              <w:top w:val="single" w:sz="8" w:space="0" w:color="000000"/>
              <w:left w:val="nil"/>
              <w:bottom w:val="nil"/>
              <w:right w:val="nil"/>
            </w:tcBorders>
            <w:tcMar>
              <w:top w:w="75" w:type="dxa"/>
              <w:left w:w="75" w:type="dxa"/>
              <w:bottom w:w="75" w:type="dxa"/>
              <w:right w:w="75" w:type="dxa"/>
            </w:tcMar>
            <w:vAlign w:val="center"/>
            <w:hideMark/>
          </w:tcPr>
          <w:p w:rsidR="007C1ECC" w:rsidRDefault="007C1ECC" w:rsidP="007C1ECC">
            <w:pPr>
              <w:ind w:right="141"/>
              <w:rPr>
                <w:sz w:val="24"/>
                <w:szCs w:val="24"/>
              </w:rPr>
            </w:pPr>
            <w:r>
              <w:rPr>
                <w:sz w:val="24"/>
                <w:szCs w:val="24"/>
              </w:rPr>
              <w:t> </w:t>
            </w:r>
          </w:p>
        </w:tc>
        <w:tc>
          <w:tcPr>
            <w:tcW w:w="8840" w:type="dxa"/>
            <w:tcBorders>
              <w:top w:val="single" w:sz="8" w:space="0" w:color="000000"/>
              <w:left w:val="nil"/>
              <w:bottom w:val="nil"/>
              <w:right w:val="nil"/>
            </w:tcBorders>
            <w:tcMar>
              <w:top w:w="75" w:type="dxa"/>
              <w:left w:w="75" w:type="dxa"/>
              <w:bottom w:w="75" w:type="dxa"/>
              <w:right w:w="75" w:type="dxa"/>
            </w:tcMar>
            <w:vAlign w:val="center"/>
            <w:hideMark/>
          </w:tcPr>
          <w:p w:rsidR="007C1ECC" w:rsidRDefault="007C1ECC" w:rsidP="007C1ECC">
            <w:pPr>
              <w:ind w:right="141"/>
              <w:rPr>
                <w:sz w:val="24"/>
                <w:szCs w:val="24"/>
              </w:rPr>
            </w:pPr>
            <w:r>
              <w:rPr>
                <w:sz w:val="24"/>
                <w:szCs w:val="24"/>
              </w:rPr>
              <w:t>Indien niet conform afspraak wordt betaald, zal de cliënt in verzuim verkeren. De cliënt is vanaf het moment van verzuim over het opeisbare bedrag een rente verschuldigd van 1% per maand.</w:t>
            </w:r>
          </w:p>
        </w:tc>
      </w:tr>
      <w:tr w:rsidR="007C1ECC" w:rsidTr="007C1ECC">
        <w:trPr>
          <w:tblCellSpacing w:w="0" w:type="dxa"/>
        </w:trPr>
        <w:tc>
          <w:tcPr>
            <w:tcW w:w="0" w:type="auto"/>
            <w:tcBorders>
              <w:top w:val="single" w:sz="8" w:space="0" w:color="000000"/>
              <w:left w:val="nil"/>
              <w:bottom w:val="nil"/>
              <w:right w:val="nil"/>
            </w:tcBorders>
            <w:tcMar>
              <w:top w:w="75" w:type="dxa"/>
              <w:left w:w="75" w:type="dxa"/>
              <w:bottom w:w="75" w:type="dxa"/>
              <w:right w:w="75" w:type="dxa"/>
            </w:tcMar>
            <w:hideMark/>
          </w:tcPr>
          <w:p w:rsidR="007C1ECC" w:rsidRDefault="007C1ECC" w:rsidP="007C1ECC">
            <w:pPr>
              <w:ind w:right="141"/>
              <w:rPr>
                <w:sz w:val="24"/>
                <w:szCs w:val="24"/>
              </w:rPr>
            </w:pPr>
            <w:r>
              <w:rPr>
                <w:sz w:val="24"/>
                <w:szCs w:val="24"/>
              </w:rPr>
              <w:t>2.4</w:t>
            </w:r>
          </w:p>
        </w:tc>
        <w:tc>
          <w:tcPr>
            <w:tcW w:w="0" w:type="auto"/>
            <w:tcBorders>
              <w:top w:val="single" w:sz="8" w:space="0" w:color="000000"/>
              <w:left w:val="nil"/>
              <w:bottom w:val="nil"/>
              <w:right w:val="nil"/>
            </w:tcBorders>
            <w:tcMar>
              <w:top w:w="75" w:type="dxa"/>
              <w:left w:w="75" w:type="dxa"/>
              <w:bottom w:w="75" w:type="dxa"/>
              <w:right w:w="75" w:type="dxa"/>
            </w:tcMar>
            <w:vAlign w:val="center"/>
            <w:hideMark/>
          </w:tcPr>
          <w:p w:rsidR="007C1ECC" w:rsidRDefault="007C1ECC" w:rsidP="007C1ECC">
            <w:pPr>
              <w:ind w:right="141"/>
              <w:rPr>
                <w:sz w:val="24"/>
                <w:szCs w:val="24"/>
              </w:rPr>
            </w:pPr>
            <w:r>
              <w:rPr>
                <w:sz w:val="24"/>
                <w:szCs w:val="24"/>
              </w:rPr>
              <w:t> </w:t>
            </w:r>
          </w:p>
        </w:tc>
        <w:tc>
          <w:tcPr>
            <w:tcW w:w="8840" w:type="dxa"/>
            <w:tcBorders>
              <w:top w:val="single" w:sz="8" w:space="0" w:color="000000"/>
              <w:left w:val="nil"/>
              <w:bottom w:val="nil"/>
              <w:right w:val="nil"/>
            </w:tcBorders>
            <w:tcMar>
              <w:top w:w="75" w:type="dxa"/>
              <w:left w:w="75" w:type="dxa"/>
              <w:bottom w:w="75" w:type="dxa"/>
              <w:right w:w="75" w:type="dxa"/>
            </w:tcMar>
            <w:vAlign w:val="center"/>
            <w:hideMark/>
          </w:tcPr>
          <w:p w:rsidR="007C1ECC" w:rsidRDefault="007C1ECC" w:rsidP="007C1ECC">
            <w:pPr>
              <w:ind w:right="141"/>
              <w:rPr>
                <w:sz w:val="24"/>
                <w:szCs w:val="24"/>
              </w:rPr>
            </w:pPr>
            <w:r>
              <w:rPr>
                <w:sz w:val="24"/>
                <w:szCs w:val="24"/>
              </w:rPr>
              <w:t xml:space="preserve">Indien de afnemer in gebreke is met de nakoming van zijn </w:t>
            </w:r>
            <w:proofErr w:type="spellStart"/>
            <w:r>
              <w:rPr>
                <w:sz w:val="24"/>
                <w:szCs w:val="24"/>
              </w:rPr>
              <w:t>betalings-verplichting</w:t>
            </w:r>
            <w:proofErr w:type="spellEnd"/>
            <w:r>
              <w:rPr>
                <w:sz w:val="24"/>
                <w:szCs w:val="24"/>
              </w:rPr>
              <w:t>(en) is de leverancier gerechtigd de verdere uitvoering van de overeenkomst op te schorten.</w:t>
            </w:r>
          </w:p>
        </w:tc>
      </w:tr>
      <w:tr w:rsidR="007C1ECC" w:rsidTr="007C1ECC">
        <w:trPr>
          <w:tblCellSpacing w:w="0" w:type="dxa"/>
        </w:trPr>
        <w:tc>
          <w:tcPr>
            <w:tcW w:w="0" w:type="auto"/>
            <w:tcBorders>
              <w:top w:val="single" w:sz="8" w:space="0" w:color="000000"/>
              <w:left w:val="nil"/>
              <w:bottom w:val="nil"/>
              <w:right w:val="nil"/>
            </w:tcBorders>
            <w:tcMar>
              <w:top w:w="75" w:type="dxa"/>
              <w:left w:w="75" w:type="dxa"/>
              <w:bottom w:w="75" w:type="dxa"/>
              <w:right w:w="75" w:type="dxa"/>
            </w:tcMar>
            <w:hideMark/>
          </w:tcPr>
          <w:p w:rsidR="007C1ECC" w:rsidRDefault="007C1ECC" w:rsidP="007C1ECC">
            <w:pPr>
              <w:ind w:right="141"/>
              <w:rPr>
                <w:sz w:val="24"/>
                <w:szCs w:val="24"/>
              </w:rPr>
            </w:pPr>
            <w:r>
              <w:rPr>
                <w:sz w:val="24"/>
                <w:szCs w:val="24"/>
              </w:rPr>
              <w:t>2.5</w:t>
            </w:r>
          </w:p>
        </w:tc>
        <w:tc>
          <w:tcPr>
            <w:tcW w:w="0" w:type="auto"/>
            <w:tcBorders>
              <w:top w:val="single" w:sz="8" w:space="0" w:color="000000"/>
              <w:left w:val="nil"/>
              <w:bottom w:val="nil"/>
              <w:right w:val="nil"/>
            </w:tcBorders>
            <w:tcMar>
              <w:top w:w="75" w:type="dxa"/>
              <w:left w:w="75" w:type="dxa"/>
              <w:bottom w:w="75" w:type="dxa"/>
              <w:right w:w="75" w:type="dxa"/>
            </w:tcMar>
            <w:vAlign w:val="center"/>
            <w:hideMark/>
          </w:tcPr>
          <w:p w:rsidR="007C1ECC" w:rsidRDefault="007C1ECC" w:rsidP="007C1ECC">
            <w:pPr>
              <w:ind w:right="141"/>
              <w:rPr>
                <w:sz w:val="24"/>
                <w:szCs w:val="24"/>
              </w:rPr>
            </w:pPr>
            <w:r>
              <w:rPr>
                <w:sz w:val="24"/>
                <w:szCs w:val="24"/>
              </w:rPr>
              <w:t> </w:t>
            </w:r>
          </w:p>
        </w:tc>
        <w:tc>
          <w:tcPr>
            <w:tcW w:w="8840" w:type="dxa"/>
            <w:tcBorders>
              <w:top w:val="single" w:sz="8" w:space="0" w:color="000000"/>
              <w:left w:val="nil"/>
              <w:bottom w:val="nil"/>
              <w:right w:val="nil"/>
            </w:tcBorders>
            <w:tcMar>
              <w:top w:w="75" w:type="dxa"/>
              <w:left w:w="75" w:type="dxa"/>
              <w:bottom w:w="75" w:type="dxa"/>
              <w:right w:w="75" w:type="dxa"/>
            </w:tcMar>
            <w:vAlign w:val="center"/>
            <w:hideMark/>
          </w:tcPr>
          <w:p w:rsidR="007C1ECC" w:rsidRDefault="007C1ECC" w:rsidP="007C1ECC">
            <w:pPr>
              <w:ind w:right="141"/>
              <w:rPr>
                <w:sz w:val="24"/>
                <w:szCs w:val="24"/>
              </w:rPr>
            </w:pPr>
            <w:r>
              <w:rPr>
                <w:sz w:val="24"/>
                <w:szCs w:val="24"/>
              </w:rPr>
              <w:t xml:space="preserve">Alle kosten, zowel de gerechtelijke als buitengerechtelijke, </w:t>
            </w:r>
            <w:proofErr w:type="spellStart"/>
            <w:r>
              <w:rPr>
                <w:sz w:val="24"/>
                <w:szCs w:val="24"/>
              </w:rPr>
              <w:t>verbandhoudende</w:t>
            </w:r>
            <w:proofErr w:type="spellEnd"/>
            <w:r>
              <w:rPr>
                <w:sz w:val="24"/>
                <w:szCs w:val="24"/>
              </w:rPr>
              <w:t xml:space="preserve"> met de niet of niet tijdige betaling door de afnemer of </w:t>
            </w:r>
            <w:proofErr w:type="spellStart"/>
            <w:r>
              <w:rPr>
                <w:sz w:val="24"/>
                <w:szCs w:val="24"/>
              </w:rPr>
              <w:t>verbandhoudende</w:t>
            </w:r>
            <w:proofErr w:type="spellEnd"/>
            <w:r>
              <w:rPr>
                <w:sz w:val="24"/>
                <w:szCs w:val="24"/>
              </w:rPr>
              <w:t xml:space="preserve"> met een andere toerekenbare tekortkoming in de uitvoering van de overeenkomst door de afnemer, komen geheel voor rekening van de cliënt. Voor de incasso van openstaande geldbedragen geldt een incassotarief van 15% (exclusief B.T.W. ) van het in te vorderen bedrag met een minimum van € 100,–.</w:t>
            </w:r>
          </w:p>
        </w:tc>
        <w:bookmarkStart w:id="0" w:name="_GoBack"/>
        <w:bookmarkEnd w:id="0"/>
      </w:tr>
      <w:tr w:rsidR="007C1ECC" w:rsidTr="007C1ECC">
        <w:trPr>
          <w:tblCellSpacing w:w="0" w:type="dxa"/>
        </w:trPr>
        <w:tc>
          <w:tcPr>
            <w:tcW w:w="0" w:type="auto"/>
            <w:tcBorders>
              <w:top w:val="single" w:sz="8" w:space="0" w:color="000000"/>
              <w:left w:val="nil"/>
              <w:bottom w:val="nil"/>
              <w:right w:val="nil"/>
            </w:tcBorders>
            <w:tcMar>
              <w:top w:w="75" w:type="dxa"/>
              <w:left w:w="75" w:type="dxa"/>
              <w:bottom w:w="75" w:type="dxa"/>
              <w:right w:w="75" w:type="dxa"/>
            </w:tcMar>
            <w:hideMark/>
          </w:tcPr>
          <w:p w:rsidR="007C1ECC" w:rsidRDefault="007C1ECC" w:rsidP="007C1ECC">
            <w:pPr>
              <w:spacing w:before="100" w:beforeAutospacing="1" w:after="100" w:afterAutospacing="1"/>
              <w:ind w:right="141"/>
              <w:rPr>
                <w:b/>
                <w:bCs/>
                <w:sz w:val="21"/>
                <w:szCs w:val="21"/>
              </w:rPr>
            </w:pPr>
            <w:r>
              <w:rPr>
                <w:b/>
                <w:bCs/>
                <w:sz w:val="21"/>
                <w:szCs w:val="21"/>
              </w:rPr>
              <w:t xml:space="preserve">3 </w:t>
            </w:r>
          </w:p>
        </w:tc>
        <w:tc>
          <w:tcPr>
            <w:tcW w:w="0" w:type="auto"/>
            <w:tcBorders>
              <w:top w:val="single" w:sz="8" w:space="0" w:color="000000"/>
              <w:left w:val="nil"/>
              <w:bottom w:val="nil"/>
              <w:right w:val="nil"/>
            </w:tcBorders>
            <w:tcMar>
              <w:top w:w="75" w:type="dxa"/>
              <w:left w:w="75" w:type="dxa"/>
              <w:bottom w:w="75" w:type="dxa"/>
              <w:right w:w="75" w:type="dxa"/>
            </w:tcMar>
            <w:vAlign w:val="center"/>
            <w:hideMark/>
          </w:tcPr>
          <w:p w:rsidR="007C1ECC" w:rsidRDefault="007C1ECC" w:rsidP="007C1ECC">
            <w:pPr>
              <w:spacing w:before="100" w:beforeAutospacing="1" w:after="100" w:afterAutospacing="1"/>
              <w:ind w:right="141"/>
              <w:rPr>
                <w:b/>
                <w:bCs/>
                <w:sz w:val="21"/>
                <w:szCs w:val="21"/>
              </w:rPr>
            </w:pPr>
            <w:r>
              <w:rPr>
                <w:b/>
                <w:bCs/>
                <w:sz w:val="21"/>
                <w:szCs w:val="21"/>
              </w:rPr>
              <w:t> </w:t>
            </w:r>
          </w:p>
        </w:tc>
        <w:tc>
          <w:tcPr>
            <w:tcW w:w="8840" w:type="dxa"/>
            <w:tcBorders>
              <w:top w:val="single" w:sz="8" w:space="0" w:color="000000"/>
              <w:left w:val="nil"/>
              <w:bottom w:val="nil"/>
              <w:right w:val="nil"/>
            </w:tcBorders>
            <w:tcMar>
              <w:top w:w="75" w:type="dxa"/>
              <w:left w:w="75" w:type="dxa"/>
              <w:bottom w:w="75" w:type="dxa"/>
              <w:right w:w="75" w:type="dxa"/>
            </w:tcMar>
            <w:vAlign w:val="center"/>
            <w:hideMark/>
          </w:tcPr>
          <w:p w:rsidR="007C1ECC" w:rsidRDefault="007C1ECC" w:rsidP="007C1ECC">
            <w:pPr>
              <w:spacing w:before="100" w:beforeAutospacing="1" w:after="100" w:afterAutospacing="1"/>
              <w:ind w:right="141"/>
              <w:rPr>
                <w:b/>
                <w:bCs/>
                <w:caps/>
                <w:sz w:val="24"/>
                <w:szCs w:val="24"/>
              </w:rPr>
            </w:pPr>
            <w:r>
              <w:rPr>
                <w:b/>
                <w:bCs/>
                <w:caps/>
                <w:sz w:val="24"/>
                <w:szCs w:val="24"/>
              </w:rPr>
              <w:t>Reclames</w:t>
            </w:r>
          </w:p>
        </w:tc>
      </w:tr>
      <w:tr w:rsidR="007C1ECC" w:rsidTr="007C1ECC">
        <w:trPr>
          <w:tblCellSpacing w:w="0" w:type="dxa"/>
        </w:trPr>
        <w:tc>
          <w:tcPr>
            <w:tcW w:w="0" w:type="auto"/>
            <w:tcBorders>
              <w:top w:val="single" w:sz="8" w:space="0" w:color="000000"/>
              <w:left w:val="nil"/>
              <w:bottom w:val="nil"/>
              <w:right w:val="nil"/>
            </w:tcBorders>
            <w:tcMar>
              <w:top w:w="75" w:type="dxa"/>
              <w:left w:w="75" w:type="dxa"/>
              <w:bottom w:w="75" w:type="dxa"/>
              <w:right w:w="75" w:type="dxa"/>
            </w:tcMar>
            <w:hideMark/>
          </w:tcPr>
          <w:p w:rsidR="007C1ECC" w:rsidRDefault="007C1ECC" w:rsidP="007C1ECC">
            <w:pPr>
              <w:ind w:right="141"/>
              <w:rPr>
                <w:sz w:val="24"/>
                <w:szCs w:val="24"/>
              </w:rPr>
            </w:pPr>
            <w:r>
              <w:rPr>
                <w:sz w:val="24"/>
                <w:szCs w:val="24"/>
              </w:rPr>
              <w:t> </w:t>
            </w:r>
          </w:p>
        </w:tc>
        <w:tc>
          <w:tcPr>
            <w:tcW w:w="0" w:type="auto"/>
            <w:tcBorders>
              <w:top w:val="single" w:sz="8" w:space="0" w:color="000000"/>
              <w:left w:val="nil"/>
              <w:bottom w:val="nil"/>
              <w:right w:val="nil"/>
            </w:tcBorders>
            <w:tcMar>
              <w:top w:w="75" w:type="dxa"/>
              <w:left w:w="75" w:type="dxa"/>
              <w:bottom w:w="75" w:type="dxa"/>
              <w:right w:w="75" w:type="dxa"/>
            </w:tcMar>
            <w:vAlign w:val="center"/>
            <w:hideMark/>
          </w:tcPr>
          <w:p w:rsidR="007C1ECC" w:rsidRDefault="007C1ECC" w:rsidP="007C1ECC">
            <w:pPr>
              <w:ind w:right="141"/>
              <w:rPr>
                <w:sz w:val="24"/>
                <w:szCs w:val="24"/>
              </w:rPr>
            </w:pPr>
            <w:r>
              <w:rPr>
                <w:sz w:val="24"/>
                <w:szCs w:val="24"/>
              </w:rPr>
              <w:t> </w:t>
            </w:r>
          </w:p>
        </w:tc>
        <w:tc>
          <w:tcPr>
            <w:tcW w:w="8840" w:type="dxa"/>
            <w:tcBorders>
              <w:top w:val="single" w:sz="8" w:space="0" w:color="000000"/>
              <w:left w:val="nil"/>
              <w:bottom w:val="nil"/>
              <w:right w:val="nil"/>
            </w:tcBorders>
            <w:tcMar>
              <w:top w:w="75" w:type="dxa"/>
              <w:left w:w="75" w:type="dxa"/>
              <w:bottom w:w="75" w:type="dxa"/>
              <w:right w:w="75" w:type="dxa"/>
            </w:tcMar>
            <w:vAlign w:val="center"/>
            <w:hideMark/>
          </w:tcPr>
          <w:p w:rsidR="007C1ECC" w:rsidRDefault="007C1ECC" w:rsidP="007C1ECC">
            <w:pPr>
              <w:ind w:right="141"/>
              <w:rPr>
                <w:sz w:val="24"/>
                <w:szCs w:val="24"/>
              </w:rPr>
            </w:pPr>
            <w:r>
              <w:rPr>
                <w:sz w:val="24"/>
                <w:szCs w:val="24"/>
              </w:rPr>
              <w:t xml:space="preserve">Indien de door de cliënt gekochte zaken enig gebrek vertoont, dient de cliënt dit binnen 14 dagen nadat hij het gebrek heeft ontdekt of redelijkerwijze had behoren te ontdekken, schriftelijk aan Voet en Goed te melden, bij gebreke waarvan de cliënt hierop geen beroep meer kan doen. </w:t>
            </w:r>
          </w:p>
        </w:tc>
      </w:tr>
      <w:tr w:rsidR="007C1ECC" w:rsidTr="007C1ECC">
        <w:trPr>
          <w:tblCellSpacing w:w="0" w:type="dxa"/>
        </w:trPr>
        <w:tc>
          <w:tcPr>
            <w:tcW w:w="0" w:type="auto"/>
            <w:tcBorders>
              <w:top w:val="single" w:sz="8" w:space="0" w:color="000000"/>
              <w:left w:val="nil"/>
              <w:bottom w:val="nil"/>
              <w:right w:val="nil"/>
            </w:tcBorders>
            <w:tcMar>
              <w:top w:w="75" w:type="dxa"/>
              <w:left w:w="75" w:type="dxa"/>
              <w:bottom w:w="75" w:type="dxa"/>
              <w:right w:w="75" w:type="dxa"/>
            </w:tcMar>
            <w:hideMark/>
          </w:tcPr>
          <w:p w:rsidR="007C1ECC" w:rsidRDefault="007C1ECC" w:rsidP="007C1ECC">
            <w:pPr>
              <w:spacing w:before="100" w:beforeAutospacing="1" w:after="100" w:afterAutospacing="1"/>
              <w:ind w:right="141"/>
              <w:rPr>
                <w:b/>
                <w:bCs/>
                <w:sz w:val="21"/>
                <w:szCs w:val="21"/>
              </w:rPr>
            </w:pPr>
            <w:r>
              <w:rPr>
                <w:b/>
                <w:bCs/>
                <w:sz w:val="21"/>
                <w:szCs w:val="21"/>
              </w:rPr>
              <w:t xml:space="preserve">4 </w:t>
            </w:r>
          </w:p>
        </w:tc>
        <w:tc>
          <w:tcPr>
            <w:tcW w:w="0" w:type="auto"/>
            <w:tcBorders>
              <w:top w:val="single" w:sz="8" w:space="0" w:color="000000"/>
              <w:left w:val="nil"/>
              <w:bottom w:val="nil"/>
              <w:right w:val="nil"/>
            </w:tcBorders>
            <w:tcMar>
              <w:top w:w="75" w:type="dxa"/>
              <w:left w:w="75" w:type="dxa"/>
              <w:bottom w:w="75" w:type="dxa"/>
              <w:right w:w="75" w:type="dxa"/>
            </w:tcMar>
            <w:vAlign w:val="center"/>
            <w:hideMark/>
          </w:tcPr>
          <w:p w:rsidR="007C1ECC" w:rsidRDefault="007C1ECC" w:rsidP="007C1ECC">
            <w:pPr>
              <w:spacing w:before="100" w:beforeAutospacing="1" w:after="100" w:afterAutospacing="1"/>
              <w:ind w:right="141"/>
              <w:rPr>
                <w:b/>
                <w:bCs/>
                <w:sz w:val="21"/>
                <w:szCs w:val="21"/>
              </w:rPr>
            </w:pPr>
            <w:r>
              <w:rPr>
                <w:b/>
                <w:bCs/>
                <w:sz w:val="21"/>
                <w:szCs w:val="21"/>
              </w:rPr>
              <w:t> </w:t>
            </w:r>
          </w:p>
        </w:tc>
        <w:tc>
          <w:tcPr>
            <w:tcW w:w="8840" w:type="dxa"/>
            <w:tcBorders>
              <w:top w:val="single" w:sz="8" w:space="0" w:color="000000"/>
              <w:left w:val="nil"/>
              <w:bottom w:val="nil"/>
              <w:right w:val="nil"/>
            </w:tcBorders>
            <w:tcMar>
              <w:top w:w="75" w:type="dxa"/>
              <w:left w:w="75" w:type="dxa"/>
              <w:bottom w:w="75" w:type="dxa"/>
              <w:right w:w="75" w:type="dxa"/>
            </w:tcMar>
            <w:vAlign w:val="center"/>
            <w:hideMark/>
          </w:tcPr>
          <w:p w:rsidR="007C1ECC" w:rsidRDefault="007C1ECC" w:rsidP="007C1ECC">
            <w:pPr>
              <w:spacing w:before="100" w:beforeAutospacing="1" w:after="100" w:afterAutospacing="1"/>
              <w:ind w:right="141"/>
              <w:rPr>
                <w:b/>
                <w:bCs/>
                <w:caps/>
                <w:sz w:val="24"/>
                <w:szCs w:val="24"/>
              </w:rPr>
            </w:pPr>
            <w:r>
              <w:rPr>
                <w:b/>
                <w:bCs/>
                <w:caps/>
                <w:sz w:val="24"/>
                <w:szCs w:val="24"/>
              </w:rPr>
              <w:t>Aansprakelijkheid</w:t>
            </w:r>
          </w:p>
        </w:tc>
      </w:tr>
      <w:tr w:rsidR="007C1ECC" w:rsidTr="007C1ECC">
        <w:trPr>
          <w:tblCellSpacing w:w="0" w:type="dxa"/>
        </w:trPr>
        <w:tc>
          <w:tcPr>
            <w:tcW w:w="0" w:type="auto"/>
            <w:tcBorders>
              <w:top w:val="single" w:sz="8" w:space="0" w:color="000000"/>
              <w:left w:val="nil"/>
              <w:bottom w:val="nil"/>
              <w:right w:val="nil"/>
            </w:tcBorders>
            <w:tcMar>
              <w:top w:w="75" w:type="dxa"/>
              <w:left w:w="75" w:type="dxa"/>
              <w:bottom w:w="75" w:type="dxa"/>
              <w:right w:w="75" w:type="dxa"/>
            </w:tcMar>
            <w:hideMark/>
          </w:tcPr>
          <w:p w:rsidR="007C1ECC" w:rsidRDefault="007C1ECC" w:rsidP="007C1ECC">
            <w:pPr>
              <w:ind w:right="141"/>
              <w:rPr>
                <w:sz w:val="24"/>
                <w:szCs w:val="24"/>
              </w:rPr>
            </w:pPr>
            <w:r>
              <w:rPr>
                <w:sz w:val="24"/>
                <w:szCs w:val="24"/>
              </w:rPr>
              <w:t>4.1</w:t>
            </w:r>
          </w:p>
        </w:tc>
        <w:tc>
          <w:tcPr>
            <w:tcW w:w="0" w:type="auto"/>
            <w:tcBorders>
              <w:top w:val="single" w:sz="8" w:space="0" w:color="000000"/>
              <w:left w:val="nil"/>
              <w:bottom w:val="nil"/>
              <w:right w:val="nil"/>
            </w:tcBorders>
            <w:tcMar>
              <w:top w:w="75" w:type="dxa"/>
              <w:left w:w="75" w:type="dxa"/>
              <w:bottom w:w="75" w:type="dxa"/>
              <w:right w:w="75" w:type="dxa"/>
            </w:tcMar>
            <w:vAlign w:val="center"/>
            <w:hideMark/>
          </w:tcPr>
          <w:p w:rsidR="007C1ECC" w:rsidRDefault="007C1ECC" w:rsidP="007C1ECC">
            <w:pPr>
              <w:ind w:right="141"/>
              <w:rPr>
                <w:sz w:val="24"/>
                <w:szCs w:val="24"/>
              </w:rPr>
            </w:pPr>
            <w:r>
              <w:rPr>
                <w:sz w:val="24"/>
                <w:szCs w:val="24"/>
              </w:rPr>
              <w:t> </w:t>
            </w:r>
          </w:p>
        </w:tc>
        <w:tc>
          <w:tcPr>
            <w:tcW w:w="8840" w:type="dxa"/>
            <w:tcBorders>
              <w:top w:val="single" w:sz="8" w:space="0" w:color="000000"/>
              <w:left w:val="nil"/>
              <w:bottom w:val="nil"/>
              <w:right w:val="nil"/>
            </w:tcBorders>
            <w:tcMar>
              <w:top w:w="75" w:type="dxa"/>
              <w:left w:w="75" w:type="dxa"/>
              <w:bottom w:w="75" w:type="dxa"/>
              <w:right w:w="75" w:type="dxa"/>
            </w:tcMar>
            <w:vAlign w:val="center"/>
            <w:hideMark/>
          </w:tcPr>
          <w:p w:rsidR="007C1ECC" w:rsidRDefault="007C1ECC" w:rsidP="007C1ECC">
            <w:pPr>
              <w:ind w:right="141"/>
              <w:rPr>
                <w:sz w:val="24"/>
                <w:szCs w:val="24"/>
              </w:rPr>
            </w:pPr>
            <w:r>
              <w:rPr>
                <w:sz w:val="24"/>
                <w:szCs w:val="24"/>
              </w:rPr>
              <w:t>Voor schade als gevolg van een gebrek in het geleverde en/of die het rechtstreekse gevolg is van schuld van Voet en Goed, is Voet en Goed slechts aansprakelijk voor zover hij hiertegen is verzekerd, dan wel gezien de in de branche geldende gebruiken, verzekerd had behoren te zijn, tot maximaal het bedrag van de verzekeringsuitkering, een en ander vermeerderd met het eigen risico onder die verzekering.</w:t>
            </w:r>
          </w:p>
        </w:tc>
      </w:tr>
      <w:tr w:rsidR="007C1ECC" w:rsidTr="007C1ECC">
        <w:trPr>
          <w:tblCellSpacing w:w="0" w:type="dxa"/>
        </w:trPr>
        <w:tc>
          <w:tcPr>
            <w:tcW w:w="0" w:type="auto"/>
            <w:tcBorders>
              <w:top w:val="single" w:sz="8" w:space="0" w:color="000000"/>
              <w:left w:val="nil"/>
              <w:bottom w:val="nil"/>
              <w:right w:val="nil"/>
            </w:tcBorders>
            <w:tcMar>
              <w:top w:w="75" w:type="dxa"/>
              <w:left w:w="75" w:type="dxa"/>
              <w:bottom w:w="75" w:type="dxa"/>
              <w:right w:w="75" w:type="dxa"/>
            </w:tcMar>
            <w:hideMark/>
          </w:tcPr>
          <w:p w:rsidR="007C1ECC" w:rsidRDefault="007C1ECC" w:rsidP="007C1ECC">
            <w:pPr>
              <w:ind w:right="141"/>
              <w:rPr>
                <w:sz w:val="24"/>
                <w:szCs w:val="24"/>
              </w:rPr>
            </w:pPr>
            <w:r>
              <w:rPr>
                <w:sz w:val="24"/>
                <w:szCs w:val="24"/>
              </w:rPr>
              <w:t>4.2</w:t>
            </w:r>
          </w:p>
        </w:tc>
        <w:tc>
          <w:tcPr>
            <w:tcW w:w="0" w:type="auto"/>
            <w:tcBorders>
              <w:top w:val="single" w:sz="8" w:space="0" w:color="000000"/>
              <w:left w:val="nil"/>
              <w:bottom w:val="nil"/>
              <w:right w:val="nil"/>
            </w:tcBorders>
            <w:tcMar>
              <w:top w:w="75" w:type="dxa"/>
              <w:left w:w="75" w:type="dxa"/>
              <w:bottom w:w="75" w:type="dxa"/>
              <w:right w:w="75" w:type="dxa"/>
            </w:tcMar>
            <w:vAlign w:val="center"/>
            <w:hideMark/>
          </w:tcPr>
          <w:p w:rsidR="007C1ECC" w:rsidRDefault="007C1ECC" w:rsidP="007C1ECC">
            <w:pPr>
              <w:ind w:right="141"/>
              <w:rPr>
                <w:sz w:val="24"/>
                <w:szCs w:val="24"/>
              </w:rPr>
            </w:pPr>
            <w:r>
              <w:rPr>
                <w:sz w:val="24"/>
                <w:szCs w:val="24"/>
              </w:rPr>
              <w:t> </w:t>
            </w:r>
          </w:p>
        </w:tc>
        <w:tc>
          <w:tcPr>
            <w:tcW w:w="8840" w:type="dxa"/>
            <w:tcBorders>
              <w:top w:val="single" w:sz="8" w:space="0" w:color="000000"/>
              <w:left w:val="nil"/>
              <w:bottom w:val="nil"/>
              <w:right w:val="nil"/>
            </w:tcBorders>
            <w:tcMar>
              <w:top w:w="75" w:type="dxa"/>
              <w:left w:w="75" w:type="dxa"/>
              <w:bottom w:w="75" w:type="dxa"/>
              <w:right w:w="75" w:type="dxa"/>
            </w:tcMar>
            <w:vAlign w:val="center"/>
            <w:hideMark/>
          </w:tcPr>
          <w:p w:rsidR="007C1ECC" w:rsidRDefault="007C1ECC" w:rsidP="007C1ECC">
            <w:pPr>
              <w:ind w:right="141"/>
              <w:rPr>
                <w:sz w:val="24"/>
                <w:szCs w:val="24"/>
              </w:rPr>
            </w:pPr>
            <w:r>
              <w:rPr>
                <w:sz w:val="24"/>
                <w:szCs w:val="24"/>
              </w:rPr>
              <w:t>Voet en Goed is aansprakelijk als schade is veroorzaakt door opzet van Voet en Goed of haar leidinggevende ondergeschikten.</w:t>
            </w:r>
          </w:p>
        </w:tc>
      </w:tr>
      <w:tr w:rsidR="007C1ECC" w:rsidTr="007C1ECC">
        <w:trPr>
          <w:tblCellSpacing w:w="0" w:type="dxa"/>
        </w:trPr>
        <w:tc>
          <w:tcPr>
            <w:tcW w:w="0" w:type="auto"/>
            <w:tcBorders>
              <w:top w:val="single" w:sz="8" w:space="0" w:color="000000"/>
              <w:left w:val="nil"/>
              <w:bottom w:val="nil"/>
              <w:right w:val="nil"/>
            </w:tcBorders>
            <w:tcMar>
              <w:top w:w="75" w:type="dxa"/>
              <w:left w:w="75" w:type="dxa"/>
              <w:bottom w:w="75" w:type="dxa"/>
              <w:right w:w="75" w:type="dxa"/>
            </w:tcMar>
            <w:hideMark/>
          </w:tcPr>
          <w:p w:rsidR="007C1ECC" w:rsidRDefault="007C1ECC" w:rsidP="007C1ECC">
            <w:pPr>
              <w:ind w:right="141"/>
              <w:rPr>
                <w:sz w:val="24"/>
                <w:szCs w:val="24"/>
              </w:rPr>
            </w:pPr>
            <w:r>
              <w:rPr>
                <w:sz w:val="24"/>
                <w:szCs w:val="24"/>
              </w:rPr>
              <w:t>4.3</w:t>
            </w:r>
          </w:p>
        </w:tc>
        <w:tc>
          <w:tcPr>
            <w:tcW w:w="0" w:type="auto"/>
            <w:tcBorders>
              <w:top w:val="single" w:sz="8" w:space="0" w:color="000000"/>
              <w:left w:val="nil"/>
              <w:bottom w:val="nil"/>
              <w:right w:val="nil"/>
            </w:tcBorders>
            <w:tcMar>
              <w:top w:w="75" w:type="dxa"/>
              <w:left w:w="75" w:type="dxa"/>
              <w:bottom w:w="75" w:type="dxa"/>
              <w:right w:w="75" w:type="dxa"/>
            </w:tcMar>
            <w:vAlign w:val="center"/>
            <w:hideMark/>
          </w:tcPr>
          <w:p w:rsidR="007C1ECC" w:rsidRDefault="007C1ECC" w:rsidP="007C1ECC">
            <w:pPr>
              <w:ind w:right="141"/>
              <w:rPr>
                <w:sz w:val="24"/>
                <w:szCs w:val="24"/>
              </w:rPr>
            </w:pPr>
            <w:r>
              <w:rPr>
                <w:sz w:val="24"/>
                <w:szCs w:val="24"/>
              </w:rPr>
              <w:t> </w:t>
            </w:r>
          </w:p>
        </w:tc>
        <w:tc>
          <w:tcPr>
            <w:tcW w:w="8840" w:type="dxa"/>
            <w:tcBorders>
              <w:top w:val="single" w:sz="8" w:space="0" w:color="000000"/>
              <w:left w:val="nil"/>
              <w:bottom w:val="nil"/>
              <w:right w:val="nil"/>
            </w:tcBorders>
            <w:tcMar>
              <w:top w:w="75" w:type="dxa"/>
              <w:left w:w="75" w:type="dxa"/>
              <w:bottom w:w="75" w:type="dxa"/>
              <w:right w:w="75" w:type="dxa"/>
            </w:tcMar>
            <w:vAlign w:val="center"/>
            <w:hideMark/>
          </w:tcPr>
          <w:p w:rsidR="007C1ECC" w:rsidRDefault="007C1ECC" w:rsidP="007C1ECC">
            <w:pPr>
              <w:ind w:right="141"/>
              <w:rPr>
                <w:sz w:val="24"/>
                <w:szCs w:val="24"/>
              </w:rPr>
            </w:pPr>
            <w:r>
              <w:rPr>
                <w:sz w:val="24"/>
                <w:szCs w:val="24"/>
              </w:rPr>
              <w:t>De door Voet en Goed te vergoeden schade zal worden gematigd indien door de cliënt te betalen prijs niet in verhouding staat tot de door de cliënt geleden schade.</w:t>
            </w:r>
          </w:p>
        </w:tc>
      </w:tr>
      <w:tr w:rsidR="007C1ECC" w:rsidTr="007C1ECC">
        <w:trPr>
          <w:tblCellSpacing w:w="0" w:type="dxa"/>
        </w:trPr>
        <w:tc>
          <w:tcPr>
            <w:tcW w:w="0" w:type="auto"/>
            <w:tcBorders>
              <w:top w:val="single" w:sz="8" w:space="0" w:color="000000"/>
              <w:left w:val="nil"/>
              <w:bottom w:val="nil"/>
              <w:right w:val="nil"/>
            </w:tcBorders>
            <w:tcMar>
              <w:top w:w="75" w:type="dxa"/>
              <w:left w:w="75" w:type="dxa"/>
              <w:bottom w:w="75" w:type="dxa"/>
              <w:right w:w="75" w:type="dxa"/>
            </w:tcMar>
            <w:hideMark/>
          </w:tcPr>
          <w:p w:rsidR="007C1ECC" w:rsidRDefault="007C1ECC" w:rsidP="007C1ECC">
            <w:pPr>
              <w:ind w:right="141"/>
              <w:rPr>
                <w:sz w:val="24"/>
                <w:szCs w:val="24"/>
              </w:rPr>
            </w:pPr>
            <w:r>
              <w:rPr>
                <w:sz w:val="24"/>
                <w:szCs w:val="24"/>
              </w:rPr>
              <w:t>4.4</w:t>
            </w:r>
          </w:p>
        </w:tc>
        <w:tc>
          <w:tcPr>
            <w:tcW w:w="0" w:type="auto"/>
            <w:tcBorders>
              <w:top w:val="single" w:sz="8" w:space="0" w:color="000000"/>
              <w:left w:val="nil"/>
              <w:bottom w:val="nil"/>
              <w:right w:val="nil"/>
            </w:tcBorders>
            <w:tcMar>
              <w:top w:w="75" w:type="dxa"/>
              <w:left w:w="75" w:type="dxa"/>
              <w:bottom w:w="75" w:type="dxa"/>
              <w:right w:w="75" w:type="dxa"/>
            </w:tcMar>
            <w:vAlign w:val="center"/>
            <w:hideMark/>
          </w:tcPr>
          <w:p w:rsidR="007C1ECC" w:rsidRDefault="007C1ECC" w:rsidP="007C1ECC">
            <w:pPr>
              <w:ind w:right="141"/>
              <w:rPr>
                <w:sz w:val="24"/>
                <w:szCs w:val="24"/>
              </w:rPr>
            </w:pPr>
            <w:r>
              <w:rPr>
                <w:sz w:val="24"/>
                <w:szCs w:val="24"/>
              </w:rPr>
              <w:t> </w:t>
            </w:r>
          </w:p>
        </w:tc>
        <w:tc>
          <w:tcPr>
            <w:tcW w:w="8840" w:type="dxa"/>
            <w:tcBorders>
              <w:top w:val="single" w:sz="8" w:space="0" w:color="000000"/>
              <w:left w:val="nil"/>
              <w:bottom w:val="nil"/>
              <w:right w:val="nil"/>
            </w:tcBorders>
            <w:tcMar>
              <w:top w:w="75" w:type="dxa"/>
              <w:left w:w="75" w:type="dxa"/>
              <w:bottom w:w="75" w:type="dxa"/>
              <w:right w:w="75" w:type="dxa"/>
            </w:tcMar>
            <w:vAlign w:val="center"/>
            <w:hideMark/>
          </w:tcPr>
          <w:p w:rsidR="007C1ECC" w:rsidRDefault="007C1ECC" w:rsidP="007C1ECC">
            <w:pPr>
              <w:ind w:right="141"/>
              <w:rPr>
                <w:sz w:val="24"/>
                <w:szCs w:val="24"/>
              </w:rPr>
            </w:pPr>
            <w:r>
              <w:rPr>
                <w:sz w:val="24"/>
                <w:szCs w:val="24"/>
              </w:rPr>
              <w:t>De cliënt zal Voet en Goed vrijwaren van mogelijke aanspraken van derden, verband houdende met de uitvoering van deze overeenkomst, ter zake waarvan Voet en Goed op grond van het bepaalde in deze voorwaarden tegenover de cliënt niet aansprakelijk zou zijn.</w:t>
            </w:r>
          </w:p>
        </w:tc>
      </w:tr>
    </w:tbl>
    <w:p w:rsidR="007C1ECC" w:rsidRDefault="007C1ECC" w:rsidP="007C1ECC">
      <w:pPr>
        <w:ind w:right="141"/>
      </w:pPr>
    </w:p>
    <w:sectPr w:rsidR="007C1ECC" w:rsidSect="007C1ECC">
      <w:pgSz w:w="11906" w:h="16838"/>
      <w:pgMar w:top="1417" w:right="226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ECC"/>
    <w:rsid w:val="007C1EC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244BC7-83B4-4B6B-9603-90AB8D2CB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C1ECC"/>
    <w:pPr>
      <w:spacing w:after="0" w:line="240" w:lineRule="auto"/>
    </w:pPr>
    <w:rPr>
      <w:rFonts w:ascii="Calibri" w:hAnsi="Calibri" w:cs="Calibri"/>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905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420</Words>
  <Characters>2310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Marije</dc:creator>
  <cp:keywords/>
  <dc:description/>
  <cp:lastModifiedBy>Marije</cp:lastModifiedBy>
  <cp:revision>1</cp:revision>
  <dcterms:created xsi:type="dcterms:W3CDTF">2017-10-17T10:06:00Z</dcterms:created>
  <dcterms:modified xsi:type="dcterms:W3CDTF">2017-10-17T10:07:00Z</dcterms:modified>
</cp:coreProperties>
</file>